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232E0" w14:textId="77777777" w:rsidR="00D2693D" w:rsidRDefault="00D2693D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</w:p>
    <w:p w14:paraId="3566C40C" w14:textId="77777777" w:rsidR="00D2693D" w:rsidRPr="00164166" w:rsidRDefault="003C4FD9" w:rsidP="00F51584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 w:rsidRPr="00164166">
        <w:rPr>
          <w:rFonts w:ascii="Arial Narrow" w:eastAsia="Arial Narrow" w:hAnsi="Arial Narrow" w:cs="Arial Narrow"/>
          <w:b/>
        </w:rPr>
        <w:t>PLANES COMPLEMENTARIOS DE APOYO</w:t>
      </w:r>
    </w:p>
    <w:p w14:paraId="427BCB5D" w14:textId="54C6EA79" w:rsidR="00D2693D" w:rsidRPr="00164166" w:rsidRDefault="003C4FD9" w:rsidP="001641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 w:rsidRPr="00164166">
        <w:rPr>
          <w:rFonts w:ascii="Arial Narrow" w:eastAsia="Arial Narrow" w:hAnsi="Arial Narrow" w:cs="Arial Narrow"/>
          <w:b/>
        </w:rPr>
        <w:t xml:space="preserve">Asignatura: </w:t>
      </w:r>
      <w:r w:rsidR="005852A3" w:rsidRPr="00164166">
        <w:rPr>
          <w:rFonts w:ascii="Arial Narrow" w:eastAsia="Arial Narrow" w:hAnsi="Arial Narrow" w:cs="Arial Narrow"/>
        </w:rPr>
        <w:t>Ética</w:t>
      </w:r>
      <w:r w:rsidRPr="00164166">
        <w:rPr>
          <w:rFonts w:ascii="Arial Narrow" w:eastAsia="Arial Narrow" w:hAnsi="Arial Narrow" w:cs="Arial Narrow"/>
        </w:rPr>
        <w:t>/</w:t>
      </w:r>
      <w:proofErr w:type="spellStart"/>
      <w:r w:rsidRPr="00164166">
        <w:rPr>
          <w:rFonts w:ascii="Arial Narrow" w:eastAsia="Arial Narrow" w:hAnsi="Arial Narrow" w:cs="Arial Narrow"/>
        </w:rPr>
        <w:t>Proy</w:t>
      </w:r>
      <w:proofErr w:type="spellEnd"/>
      <w:r w:rsidRPr="00164166">
        <w:rPr>
          <w:rFonts w:ascii="Arial Narrow" w:eastAsia="Arial Narrow" w:hAnsi="Arial Narrow" w:cs="Arial Narrow"/>
        </w:rPr>
        <w:t>. Vida</w:t>
      </w:r>
      <w:r w:rsidRPr="00164166">
        <w:rPr>
          <w:rFonts w:ascii="Arial Narrow" w:eastAsia="Arial Narrow" w:hAnsi="Arial Narrow" w:cs="Arial Narrow"/>
          <w:b/>
        </w:rPr>
        <w:t xml:space="preserve"> </w:t>
      </w:r>
      <w:r w:rsidRPr="00164166">
        <w:rPr>
          <w:rFonts w:ascii="Arial Narrow" w:eastAsia="Arial Narrow" w:hAnsi="Arial Narrow" w:cs="Arial Narrow"/>
          <w:b/>
        </w:rPr>
        <w:tab/>
        <w:t xml:space="preserve">        Grado: </w:t>
      </w:r>
      <w:r w:rsidRPr="00164166">
        <w:rPr>
          <w:rFonts w:ascii="Arial Narrow" w:eastAsia="Arial Narrow" w:hAnsi="Arial Narrow" w:cs="Arial Narrow"/>
        </w:rPr>
        <w:t>9°</w:t>
      </w:r>
      <w:r w:rsidRPr="00164166">
        <w:rPr>
          <w:rFonts w:ascii="Arial Narrow" w:eastAsia="Arial Narrow" w:hAnsi="Arial Narrow" w:cs="Arial Narrow"/>
          <w:b/>
        </w:rPr>
        <w:t xml:space="preserve">      </w:t>
      </w:r>
      <w:r w:rsidRPr="00164166">
        <w:rPr>
          <w:rFonts w:ascii="Arial Narrow" w:eastAsia="Arial Narrow" w:hAnsi="Arial Narrow" w:cs="Arial Narrow"/>
          <w:b/>
        </w:rPr>
        <w:tab/>
        <w:t xml:space="preserve">   Periodo: </w:t>
      </w:r>
      <w:proofErr w:type="spellStart"/>
      <w:r w:rsidRPr="00164166">
        <w:rPr>
          <w:rFonts w:ascii="Arial Narrow" w:eastAsia="Arial Narrow" w:hAnsi="Arial Narrow" w:cs="Arial Narrow"/>
        </w:rPr>
        <w:t>II</w:t>
      </w:r>
      <w:r w:rsidR="00FC0A6E" w:rsidRPr="00164166">
        <w:rPr>
          <w:rFonts w:ascii="Arial Narrow" w:eastAsia="Arial Narrow" w:hAnsi="Arial Narrow" w:cs="Arial Narrow"/>
        </w:rPr>
        <w:t>l</w:t>
      </w:r>
      <w:proofErr w:type="spellEnd"/>
      <w:r w:rsidRPr="00164166">
        <w:rPr>
          <w:rFonts w:ascii="Arial Narrow" w:eastAsia="Arial Narrow" w:hAnsi="Arial Narrow" w:cs="Arial Narrow"/>
          <w:b/>
        </w:rPr>
        <w:t xml:space="preserve">                         Año: </w:t>
      </w:r>
      <w:r w:rsidR="00F51584">
        <w:rPr>
          <w:rFonts w:ascii="Arial Narrow" w:eastAsia="Arial Narrow" w:hAnsi="Arial Narrow" w:cs="Arial Narrow"/>
        </w:rPr>
        <w:t>2024</w:t>
      </w:r>
    </w:p>
    <w:p w14:paraId="223581CF" w14:textId="77777777" w:rsidR="00D2693D" w:rsidRPr="00164166" w:rsidRDefault="003C4FD9" w:rsidP="001641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 w:rsidRPr="00164166">
        <w:rPr>
          <w:rFonts w:ascii="Arial Narrow" w:eastAsia="Arial Narrow" w:hAnsi="Arial Narrow" w:cs="Arial Narrow"/>
          <w:b/>
        </w:rPr>
        <w:t>RECOMENDACIONES</w:t>
      </w:r>
    </w:p>
    <w:p w14:paraId="3A9BA9A6" w14:textId="3312FE4A" w:rsidR="000267E6" w:rsidRDefault="000267E6" w:rsidP="000267E6">
      <w:pPr>
        <w:spacing w:after="0" w:line="360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</w:t>
      </w:r>
      <w:r w:rsidR="00F51584">
        <w:rPr>
          <w:rFonts w:ascii="Arial Narrow" w:eastAsia="Arial Narrow" w:hAnsi="Arial Narrow" w:cs="Arial Narrow"/>
          <w:i/>
        </w:rPr>
        <w:t xml:space="preserve">. </w:t>
      </w:r>
      <w:r>
        <w:rPr>
          <w:rFonts w:ascii="Arial Narrow" w:eastAsia="Arial Narrow" w:hAnsi="Arial Narrow" w:cs="Arial Narrow"/>
          <w:i/>
        </w:rPr>
        <w:t xml:space="preserve"> Este proceso está programado </w:t>
      </w:r>
      <w:r w:rsidR="00F51584">
        <w:rPr>
          <w:rFonts w:ascii="Arial Narrow" w:eastAsia="Arial Narrow" w:hAnsi="Arial Narrow" w:cs="Arial Narrow"/>
          <w:i/>
        </w:rPr>
        <w:t>desde el 20 al 29 de agosto</w:t>
      </w:r>
      <w:r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  <w:bookmarkStart w:id="0" w:name="_GoBack"/>
      <w:bookmarkEnd w:id="0"/>
    </w:p>
    <w:p w14:paraId="14134E74" w14:textId="77777777" w:rsidR="00D2693D" w:rsidRPr="00164166" w:rsidRDefault="00D2693D" w:rsidP="00164166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</w:p>
    <w:p w14:paraId="43B5646C" w14:textId="77777777" w:rsidR="00D2693D" w:rsidRPr="00164166" w:rsidRDefault="003C4FD9" w:rsidP="001641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164166"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 w:rsidRPr="00164166"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</w:p>
    <w:p w14:paraId="7633FC6C" w14:textId="2A9133B0" w:rsidR="00D2693D" w:rsidRDefault="00FC0A6E" w:rsidP="001641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>¿Qué implica tener criterios frente a las culturas y subculturas de nuestra sociedad?</w:t>
      </w:r>
    </w:p>
    <w:p w14:paraId="1F78BF35" w14:textId="77777777" w:rsidR="00164166" w:rsidRPr="00164166" w:rsidRDefault="00164166" w:rsidP="001641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</w:p>
    <w:p w14:paraId="4367B238" w14:textId="77777777" w:rsidR="00D2693D" w:rsidRPr="00164166" w:rsidRDefault="003C4FD9" w:rsidP="001641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164166">
        <w:rPr>
          <w:rFonts w:ascii="Arial Narrow" w:eastAsia="Arial Narrow" w:hAnsi="Arial Narrow" w:cs="Arial Narrow"/>
          <w:b/>
          <w:color w:val="000000"/>
        </w:rPr>
        <w:t>Metas de aprendizaje</w:t>
      </w:r>
    </w:p>
    <w:p w14:paraId="64638742" w14:textId="38A0D4E3" w:rsidR="00D2693D" w:rsidRPr="00164166" w:rsidRDefault="00FC0A6E" w:rsidP="001641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>Al finalizar el periodo los estudiantes deberán identificar los principales movimientos urbanos de contexto cercano, asumiendo una postura crítica frente a las distintas tribus urbanas que presenta el mundo contemporáneo y reconociendo los principios de la dignidad humana aplicándolo a contextos cercanos, asociándolos a la convivencia y autorrealización.</w:t>
      </w:r>
    </w:p>
    <w:p w14:paraId="0D13D9C4" w14:textId="77777777" w:rsidR="00FC0A6E" w:rsidRPr="00164166" w:rsidRDefault="00FC0A6E" w:rsidP="001641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highlight w:val="white"/>
        </w:rPr>
      </w:pPr>
    </w:p>
    <w:p w14:paraId="5948DBFF" w14:textId="77777777" w:rsidR="00D2693D" w:rsidRPr="00164166" w:rsidRDefault="003C4FD9" w:rsidP="001641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164166"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14:paraId="1ABD8A51" w14:textId="6DF63A88" w:rsidR="00FC0A6E" w:rsidRPr="00164166" w:rsidRDefault="00FC0A6E" w:rsidP="0016416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 xml:space="preserve">Metáforas de las </w:t>
      </w:r>
      <w:r w:rsidR="00B52A77">
        <w:rPr>
          <w:rFonts w:ascii="Arial Narrow" w:hAnsi="Arial Narrow"/>
          <w:color w:val="000000"/>
          <w:shd w:val="clear" w:color="auto" w:fill="FFFFFF"/>
        </w:rPr>
        <w:t>sociedades contemporáneas (lo lí</w:t>
      </w:r>
      <w:r w:rsidRPr="00164166">
        <w:rPr>
          <w:rFonts w:ascii="Arial Narrow" w:hAnsi="Arial Narrow"/>
          <w:color w:val="000000"/>
          <w:shd w:val="clear" w:color="auto" w:fill="FFFFFF"/>
        </w:rPr>
        <w:t xml:space="preserve">quido, el </w:t>
      </w:r>
      <w:proofErr w:type="spellStart"/>
      <w:r w:rsidRPr="00164166">
        <w:rPr>
          <w:rFonts w:ascii="Arial Narrow" w:hAnsi="Arial Narrow"/>
          <w:color w:val="000000"/>
          <w:shd w:val="clear" w:color="auto" w:fill="FFFFFF"/>
        </w:rPr>
        <w:t>fordismo</w:t>
      </w:r>
      <w:proofErr w:type="spellEnd"/>
      <w:r w:rsidRPr="00164166">
        <w:rPr>
          <w:rFonts w:ascii="Arial Narrow" w:hAnsi="Arial Narrow"/>
          <w:color w:val="000000"/>
          <w:shd w:val="clear" w:color="auto" w:fill="FFFFFF"/>
        </w:rPr>
        <w:t xml:space="preserve"> y el tribalismo) </w:t>
      </w:r>
    </w:p>
    <w:p w14:paraId="34407266" w14:textId="77777777" w:rsidR="00FC0A6E" w:rsidRPr="00164166" w:rsidRDefault="00FC0A6E" w:rsidP="0016416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 xml:space="preserve">Culturas tribales. </w:t>
      </w:r>
    </w:p>
    <w:p w14:paraId="4859D455" w14:textId="77777777" w:rsidR="00FC0A6E" w:rsidRPr="00164166" w:rsidRDefault="00FC0A6E" w:rsidP="0016416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 xml:space="preserve">Movimientos juveniles. </w:t>
      </w:r>
    </w:p>
    <w:p w14:paraId="6E88428A" w14:textId="27718075" w:rsidR="00D2693D" w:rsidRPr="00164166" w:rsidRDefault="00FC0A6E" w:rsidP="00164166">
      <w:pPr>
        <w:pStyle w:val="Prrafode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hAnsi="Arial Narrow"/>
          <w:color w:val="000000"/>
          <w:shd w:val="clear" w:color="auto" w:fill="FFFFFF"/>
        </w:rPr>
      </w:pPr>
      <w:r w:rsidRPr="00164166">
        <w:rPr>
          <w:rFonts w:ascii="Arial Narrow" w:hAnsi="Arial Narrow"/>
          <w:color w:val="000000"/>
          <w:shd w:val="clear" w:color="auto" w:fill="FFFFFF"/>
        </w:rPr>
        <w:t>Grupos sociales tribales</w:t>
      </w:r>
    </w:p>
    <w:p w14:paraId="0B5BAA95" w14:textId="77777777" w:rsidR="00FC0A6E" w:rsidRPr="00164166" w:rsidRDefault="00FC0A6E" w:rsidP="0016416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</w:rPr>
      </w:pPr>
    </w:p>
    <w:p w14:paraId="7C6D9C32" w14:textId="77777777" w:rsidR="00D2693D" w:rsidRPr="00164166" w:rsidRDefault="003C4FD9" w:rsidP="001641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</w:rPr>
      </w:pPr>
      <w:r w:rsidRPr="00164166">
        <w:rPr>
          <w:rFonts w:ascii="Arial Narrow" w:eastAsia="Arial Narrow" w:hAnsi="Arial Narrow" w:cs="Arial Narrow"/>
          <w:b/>
          <w:color w:val="000000"/>
        </w:rPr>
        <w:t>Referencias bibliográficas</w:t>
      </w:r>
    </w:p>
    <w:p w14:paraId="53E1D9E6" w14:textId="70CEE23D" w:rsidR="00D2693D" w:rsidRPr="00164166" w:rsidRDefault="00FC0A6E" w:rsidP="00164166">
      <w:pPr>
        <w:pStyle w:val="Prrafodelista"/>
        <w:numPr>
          <w:ilvl w:val="0"/>
          <w:numId w:val="3"/>
        </w:numPr>
        <w:jc w:val="both"/>
        <w:rPr>
          <w:rFonts w:ascii="Arial Narrow" w:hAnsi="Arial Narrow"/>
        </w:rPr>
      </w:pPr>
      <w:proofErr w:type="spellStart"/>
      <w:r w:rsidRPr="00164166">
        <w:rPr>
          <w:rFonts w:ascii="Arial Narrow" w:hAnsi="Arial Narrow"/>
        </w:rPr>
        <w:t>Lorens</w:t>
      </w:r>
      <w:proofErr w:type="spellEnd"/>
      <w:r w:rsidRPr="00164166">
        <w:rPr>
          <w:rFonts w:ascii="Arial Narrow" w:hAnsi="Arial Narrow"/>
        </w:rPr>
        <w:t xml:space="preserve">, J. (Fecha de publicación). Culturas tribales [Exposición]. Recuperado de </w:t>
      </w:r>
      <w:hyperlink r:id="rId8" w:tgtFrame="_new" w:history="1">
        <w:r w:rsidRPr="00164166">
          <w:rPr>
            <w:rStyle w:val="Hipervnculo"/>
            <w:rFonts w:ascii="Arial Narrow" w:hAnsi="Arial Narrow"/>
          </w:rPr>
          <w:t>https://jordillorens.com/exposiciones/culturas-tribales/</w:t>
        </w:r>
      </w:hyperlink>
    </w:p>
    <w:p w14:paraId="4BCA2449" w14:textId="1345E64E" w:rsidR="00FC0A6E" w:rsidRPr="00164166" w:rsidRDefault="002B506D" w:rsidP="00164166">
      <w:pPr>
        <w:pStyle w:val="Prrafodelista"/>
        <w:numPr>
          <w:ilvl w:val="0"/>
          <w:numId w:val="3"/>
        </w:numPr>
        <w:jc w:val="both"/>
        <w:rPr>
          <w:rFonts w:ascii="Arial Narrow" w:hAnsi="Arial Narrow"/>
        </w:rPr>
      </w:pPr>
      <w:r w:rsidRPr="00164166">
        <w:rPr>
          <w:rFonts w:ascii="Arial Narrow" w:hAnsi="Arial Narrow"/>
        </w:rPr>
        <w:t xml:space="preserve">Comisión Interamericana de Derechos Humanos. (2009). Informe sobre la situación de los derechos humanos en las tierras indígenas y tribales en el continente americano [Informe]. Recuperado de </w:t>
      </w:r>
      <w:hyperlink r:id="rId9" w:tgtFrame="_new" w:history="1">
        <w:r w:rsidRPr="00164166">
          <w:rPr>
            <w:rStyle w:val="Hipervnculo"/>
            <w:rFonts w:ascii="Arial Narrow" w:hAnsi="Arial Narrow"/>
          </w:rPr>
          <w:t>http://cidh.org/countryrep/tierrasindigenas2009/cap.iii-iv.htm</w:t>
        </w:r>
      </w:hyperlink>
    </w:p>
    <w:p w14:paraId="2329F0BD" w14:textId="0911C6DE" w:rsidR="00164166" w:rsidRPr="00164166" w:rsidRDefault="002B506D" w:rsidP="00164166">
      <w:pPr>
        <w:pStyle w:val="Prrafodelista"/>
        <w:numPr>
          <w:ilvl w:val="0"/>
          <w:numId w:val="3"/>
        </w:numPr>
        <w:jc w:val="both"/>
        <w:rPr>
          <w:rFonts w:ascii="Arial Narrow" w:hAnsi="Arial Narrow"/>
        </w:rPr>
      </w:pPr>
      <w:r w:rsidRPr="00164166">
        <w:rPr>
          <w:rFonts w:ascii="Arial Narrow" w:hAnsi="Arial Narrow"/>
        </w:rPr>
        <w:lastRenderedPageBreak/>
        <w:t xml:space="preserve">Comisión Interamericana de Derechos Humanos. (2009). Informe sobre la situación de los derechos humanos en las tierras indígenas y tribales en el continente americano [Informe]. Recuperado de </w:t>
      </w:r>
      <w:hyperlink r:id="rId10" w:tgtFrame="_new" w:history="1">
        <w:r w:rsidRPr="00164166">
          <w:rPr>
            <w:rStyle w:val="Hipervnculo"/>
            <w:rFonts w:ascii="Arial Narrow" w:hAnsi="Arial Narrow"/>
          </w:rPr>
          <w:t>http://cidh.org/countryrep/tierrasindigenas2009/cap.iii-iv.htm</w:t>
        </w:r>
      </w:hyperlink>
    </w:p>
    <w:p w14:paraId="428D00BD" w14:textId="7368CA17" w:rsidR="00164166" w:rsidRPr="00164166" w:rsidRDefault="00164166" w:rsidP="00164166">
      <w:pPr>
        <w:pStyle w:val="Prrafodelista"/>
        <w:numPr>
          <w:ilvl w:val="0"/>
          <w:numId w:val="3"/>
        </w:numPr>
        <w:jc w:val="both"/>
        <w:rPr>
          <w:rFonts w:ascii="Arial Narrow" w:hAnsi="Arial Narrow"/>
        </w:rPr>
      </w:pPr>
      <w:r w:rsidRPr="00164166">
        <w:rPr>
          <w:rFonts w:ascii="Arial Narrow" w:hAnsi="Arial Narrow"/>
        </w:rPr>
        <w:t xml:space="preserve">Movimientos juveniles en américa latina: entre la tradición y la innovación (2013). [Informe]. Recuperado de  </w:t>
      </w:r>
      <w:hyperlink r:id="rId11" w:history="1">
        <w:r w:rsidRPr="00164166">
          <w:rPr>
            <w:rStyle w:val="Hipervnculo"/>
            <w:rFonts w:ascii="Arial Narrow" w:hAnsi="Arial Narrow"/>
          </w:rPr>
          <w:t>http://www.celaju.net/wp-content/publicaciones/2014/05/Movimientos-Juveniles-ALC.pdf</w:t>
        </w:r>
      </w:hyperlink>
    </w:p>
    <w:p w14:paraId="4B873879" w14:textId="77777777" w:rsidR="00164166" w:rsidRPr="00164166" w:rsidRDefault="00164166" w:rsidP="00164166">
      <w:pPr>
        <w:pStyle w:val="Prrafodelista"/>
        <w:ind w:left="360"/>
        <w:jc w:val="both"/>
        <w:rPr>
          <w:rFonts w:ascii="Arial Narrow" w:hAnsi="Arial Narrow"/>
        </w:rPr>
      </w:pPr>
    </w:p>
    <w:p w14:paraId="1A711BFB" w14:textId="77777777" w:rsidR="00D2693D" w:rsidRDefault="00D2693D" w:rsidP="006213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</w:p>
    <w:p w14:paraId="004B3458" w14:textId="77777777" w:rsidR="00D2693D" w:rsidRDefault="00D2693D" w:rsidP="006213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</w:rPr>
      </w:pPr>
    </w:p>
    <w:p w14:paraId="6023C45F" w14:textId="77777777" w:rsidR="00D2693D" w:rsidRDefault="00D2693D" w:rsidP="0062139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</w:rPr>
      </w:pPr>
    </w:p>
    <w:p w14:paraId="57315763" w14:textId="77777777" w:rsidR="00D2693D" w:rsidRDefault="00D2693D" w:rsidP="0062139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 Narrow" w:eastAsia="Arial Narrow" w:hAnsi="Arial Narrow" w:cs="Arial Narrow"/>
          <w:color w:val="000000"/>
        </w:rPr>
      </w:pPr>
    </w:p>
    <w:sectPr w:rsidR="00D2693D">
      <w:headerReference w:type="default" r:id="rId12"/>
      <w:pgSz w:w="12240" w:h="15840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A511E" w14:textId="77777777" w:rsidR="001E4FE4" w:rsidRDefault="001E4FE4">
      <w:pPr>
        <w:spacing w:after="0" w:line="240" w:lineRule="auto"/>
      </w:pPr>
      <w:r>
        <w:separator/>
      </w:r>
    </w:p>
  </w:endnote>
  <w:endnote w:type="continuationSeparator" w:id="0">
    <w:p w14:paraId="361114D1" w14:textId="77777777" w:rsidR="001E4FE4" w:rsidRDefault="001E4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8249F" w14:textId="77777777" w:rsidR="001E4FE4" w:rsidRDefault="001E4FE4">
      <w:pPr>
        <w:spacing w:after="0" w:line="240" w:lineRule="auto"/>
      </w:pPr>
      <w:r>
        <w:separator/>
      </w:r>
    </w:p>
  </w:footnote>
  <w:footnote w:type="continuationSeparator" w:id="0">
    <w:p w14:paraId="445142D2" w14:textId="77777777" w:rsidR="001E4FE4" w:rsidRDefault="001E4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53DE5" w14:textId="77777777" w:rsidR="00D2693D" w:rsidRDefault="003C4F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1500"/>
      </w:tabs>
      <w:spacing w:after="0" w:line="240" w:lineRule="auto"/>
      <w:rPr>
        <w:rFonts w:ascii="Trebuchet MS" w:eastAsia="Trebuchet MS" w:hAnsi="Trebuchet MS" w:cs="Trebuchet MS"/>
        <w:b/>
        <w:color w:val="000000"/>
        <w:sz w:val="30"/>
        <w:szCs w:val="30"/>
      </w:rPr>
    </w:pPr>
    <w:r>
      <w:rPr>
        <w:rFonts w:ascii="Trebuchet MS" w:eastAsia="Trebuchet MS" w:hAnsi="Trebuchet MS" w:cs="Trebuchet MS"/>
        <w:b/>
        <w:color w:val="000000"/>
        <w:sz w:val="30"/>
        <w:szCs w:val="30"/>
      </w:rPr>
      <w:t>Saber</w:t>
    </w:r>
    <w:r>
      <w:rPr>
        <w:rFonts w:ascii="Trebuchet MS" w:eastAsia="Trebuchet MS" w:hAnsi="Trebuchet MS" w:cs="Trebuchet MS"/>
        <w:b/>
        <w:color w:val="000000"/>
        <w:sz w:val="30"/>
        <w:szCs w:val="30"/>
      </w:rPr>
      <w:tab/>
    </w:r>
    <w:r>
      <w:rPr>
        <w:noProof/>
        <w:lang w:val="en-US" w:eastAsia="en-US"/>
      </w:rPr>
      <w:drawing>
        <wp:anchor distT="0" distB="0" distL="0" distR="0" simplePos="0" relativeHeight="251658240" behindDoc="1" locked="0" layoutInCell="1" hidden="0" allowOverlap="1" wp14:anchorId="1BAD8299" wp14:editId="6A77E865">
          <wp:simplePos x="0" y="0"/>
          <wp:positionH relativeFrom="column">
            <wp:posOffset>5502910</wp:posOffset>
          </wp:positionH>
          <wp:positionV relativeFrom="paragraph">
            <wp:posOffset>47625</wp:posOffset>
          </wp:positionV>
          <wp:extent cx="843280" cy="353060"/>
          <wp:effectExtent l="0" t="0" r="0" b="0"/>
          <wp:wrapNone/>
          <wp:docPr id="14" name="image1.png" descr="logo Ferrini ByN.t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 Ferrini ByN.tif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3280" cy="3530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7045515" w14:textId="77777777" w:rsidR="00D2693D" w:rsidRDefault="003C4FD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4111"/>
        <w:tab w:val="right" w:pos="9923"/>
      </w:tabs>
      <w:spacing w:after="0" w:line="240" w:lineRule="auto"/>
      <w:rPr>
        <w:rFonts w:ascii="Trebuchet MS" w:eastAsia="Trebuchet MS" w:hAnsi="Trebuchet MS" w:cs="Trebuchet MS"/>
        <w:b/>
        <w:color w:val="000000"/>
        <w:sz w:val="24"/>
        <w:szCs w:val="24"/>
      </w:rPr>
    </w:pPr>
    <w:r>
      <w:rPr>
        <w:rFonts w:ascii="Trebuchet MS" w:eastAsia="Trebuchet MS" w:hAnsi="Trebuchet MS" w:cs="Trebuchet MS"/>
        <w:b/>
        <w:color w:val="000000"/>
        <w:sz w:val="24"/>
        <w:szCs w:val="24"/>
      </w:rPr>
      <w:t>Sistema de evaluación interna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A1E26"/>
    <w:multiLevelType w:val="hybridMultilevel"/>
    <w:tmpl w:val="1926475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F64E2C"/>
    <w:multiLevelType w:val="multilevel"/>
    <w:tmpl w:val="6A06DB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45CB4"/>
    <w:multiLevelType w:val="hybridMultilevel"/>
    <w:tmpl w:val="45041F2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9935B56"/>
    <w:multiLevelType w:val="hybridMultilevel"/>
    <w:tmpl w:val="75A4778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3D"/>
    <w:rsid w:val="000267E6"/>
    <w:rsid w:val="00164166"/>
    <w:rsid w:val="001E4FE4"/>
    <w:rsid w:val="002B506D"/>
    <w:rsid w:val="003C4FD9"/>
    <w:rsid w:val="00441FB5"/>
    <w:rsid w:val="00575B01"/>
    <w:rsid w:val="005852A3"/>
    <w:rsid w:val="0062139A"/>
    <w:rsid w:val="00916838"/>
    <w:rsid w:val="009E1B47"/>
    <w:rsid w:val="00A450B1"/>
    <w:rsid w:val="00B02845"/>
    <w:rsid w:val="00B25762"/>
    <w:rsid w:val="00B52A77"/>
    <w:rsid w:val="00D2693D"/>
    <w:rsid w:val="00F51584"/>
    <w:rsid w:val="00FC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03F30"/>
  <w15:docId w15:val="{E39C155F-EB63-4A39-A658-4FAFE57BE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link w:val="Ttulo1Car"/>
    <w:uiPriority w:val="9"/>
    <w:qFormat/>
    <w:rsid w:val="00B81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20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018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A3F2B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B8157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20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yt-core-attributed-string">
    <w:name w:val="yt-core-attributed-string"/>
    <w:basedOn w:val="Fuentedeprrafopredeter"/>
    <w:rsid w:val="00DC22B1"/>
  </w:style>
  <w:style w:type="paragraph" w:styleId="NormalWeb">
    <w:name w:val="Normal (Web)"/>
    <w:basedOn w:val="Normal"/>
    <w:uiPriority w:val="99"/>
    <w:unhideWhenUsed/>
    <w:rsid w:val="002D40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F73B1"/>
    <w:rPr>
      <w:color w:val="605E5C"/>
      <w:shd w:val="clear" w:color="auto" w:fill="E1DFDD"/>
    </w:rPr>
  </w:style>
  <w:style w:type="character" w:styleId="nfasis">
    <w:name w:val="Emphasis"/>
    <w:basedOn w:val="Fuentedeprrafopredeter"/>
    <w:uiPriority w:val="20"/>
    <w:qFormat/>
    <w:rsid w:val="00DA1ABC"/>
    <w:rPr>
      <w:i/>
      <w:iCs/>
    </w:rPr>
  </w:style>
  <w:style w:type="character" w:customStyle="1" w:styleId="quoting-url">
    <w:name w:val="quoting-url"/>
    <w:basedOn w:val="Fuentedeprrafopredeter"/>
    <w:rsid w:val="00DA1ABC"/>
  </w:style>
  <w:style w:type="paragraph" w:styleId="Encabezado">
    <w:name w:val="header"/>
    <w:basedOn w:val="Normal"/>
    <w:link w:val="EncabezadoCar"/>
    <w:uiPriority w:val="99"/>
    <w:unhideWhenUsed/>
    <w:rsid w:val="00053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3C98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53C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3C98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641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8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rdillorens.com/exposiciones/culturas-tribale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laju.net/wp-content/publicaciones/2014/05/Movimientos-Juveniles-ALC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idh.org/countryrep/tierrasindigenas2009/cap.iii-iv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dh.org/countryrep/tierrasindigenas2009/cap.iii-iv.ht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6wr6UpHWrphuG9rQjNpCr3G2FTw==">AMUW2mUNaHitLQs0x7NEZ+6sKs9o8wET8es4UrJTT2xI1sFvXJEYbs1O1ChinVr0FkuCRzhez9yTRczALj9cXM5/POz4woXWniFsZMqvWZMndGuM6Sh2/eoLrTi9gHamNd+/FugukS1W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Estudiante</cp:lastModifiedBy>
  <cp:revision>7</cp:revision>
  <dcterms:created xsi:type="dcterms:W3CDTF">2023-07-19T11:46:00Z</dcterms:created>
  <dcterms:modified xsi:type="dcterms:W3CDTF">2024-07-29T14:49:00Z</dcterms:modified>
</cp:coreProperties>
</file>